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0"/>
        <w:jc w:val="left"/>
      </w:pPr>
      <w:r>
        <w:rPr>
          <w:rFonts w:ascii="Arial" w:hAnsi="Arial" w:eastAsia="Arial Unicode MS"/>
          <w:b/>
          <w:i w:val="0"/>
          <w:color w:val="86BC25"/>
          <w:sz w:val="36"/>
        </w:rPr>
        <w:t>金融行业审计</w:t>
      </w:r>
    </w:p>
    <w:p>
      <w:pPr>
        <w:spacing w:after="240"/>
      </w:pPr>
      <w:r>
        <w:rPr>
          <w:rFonts w:ascii="Arial" w:hAnsi="Arial" w:eastAsia="Arial Unicode MS"/>
          <w:b/>
          <w:i w:val="0"/>
          <w:color w:val="006B54"/>
          <w:sz w:val="68"/>
        </w:rPr>
        <w:t>AI 实操训练营</w:t>
      </w:r>
    </w:p>
    <w:p>
      <w:r>
        <w:rPr>
          <w:rFonts w:ascii="Arial" w:hAnsi="Arial" w:eastAsia="Arial Unicode MS"/>
          <w:b/>
          <w:i w:val="0"/>
          <w:color w:val="1F4D78"/>
          <w:sz w:val="44"/>
        </w:rPr>
        <w:t>统一系列 v3.1</w:t>
      </w:r>
    </w:p>
    <w:p>
      <w:pPr>
        <w:spacing w:before="280" w:after="360"/>
      </w:pPr>
      <w:r>
        <w:rPr>
          <w:rFonts w:ascii="Arial" w:hAnsi="Arial" w:eastAsia="Arial Unicode MS"/>
          <w:b w:val="0"/>
          <w:i w:val="0"/>
          <w:color w:val="667085"/>
          <w:sz w:val="26"/>
        </w:rPr>
        <w:t>案例 5–7 分组研讨：自行设计分析路径，区分 AI 工作与人工判断。</w:t>
      </w:r>
    </w:p>
    <w:p>
      <w:pPr>
        <w:shd w:fill="EAF3DF"/>
        <w:spacing w:before="280" w:after="360"/>
        <w:ind w:left="170" w:right="170"/>
      </w:pPr>
      <w:r>
        <w:rPr>
          <w:rFonts w:ascii="Arial" w:hAnsi="Arial" w:eastAsia="Arial Unicode MS"/>
          <w:b/>
          <w:i w:val="0"/>
          <w:color w:val="006B54"/>
          <w:sz w:val="23"/>
        </w:rPr>
        <w:t>学生讲义 · Group Study｜案例 5–7：Group Study 综合业务应用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/>
        </w:trPr>
        <w:tc>
          <w:tcPr>
            <w:tcW w:type="dxa" w:w="3400"/>
            <w:shd w:fill="006B54"/>
          </w:tcPr>
          <w:p>
            <w:r>
              <w:rPr>
                <w:rFonts w:ascii="Arial" w:hAnsi="Arial" w:eastAsia="Arial Unicode MS"/>
                <w:b/>
                <w:i w:val="0"/>
                <w:color w:val="FFFFFF"/>
                <w:sz w:val="19"/>
              </w:rPr>
              <w:t>案例</w:t>
            </w:r>
          </w:p>
        </w:tc>
        <w:tc>
          <w:tcPr>
            <w:tcW w:type="dxa" w:w="3400"/>
            <w:shd w:fill="006B54"/>
          </w:tcPr>
          <w:p>
            <w:r>
              <w:rPr>
                <w:rFonts w:ascii="Arial" w:hAnsi="Arial" w:eastAsia="Arial Unicode MS"/>
                <w:b/>
                <w:i w:val="0"/>
                <w:color w:val="FFFFFF"/>
                <w:sz w:val="19"/>
              </w:rPr>
              <w:t>主题</w:t>
            </w:r>
          </w:p>
        </w:tc>
        <w:tc>
          <w:tcPr>
            <w:tcW w:type="dxa" w:w="3400"/>
            <w:shd w:fill="006B54"/>
          </w:tcPr>
          <w:p>
            <w:r>
              <w:rPr>
                <w:rFonts w:ascii="Arial" w:hAnsi="Arial" w:eastAsia="Arial Unicode MS"/>
                <w:b/>
                <w:i w:val="0"/>
                <w:color w:val="FFFFFF"/>
                <w:sz w:val="19"/>
              </w:rPr>
              <w:t>核心控制</w:t>
            </w:r>
          </w:p>
        </w:tc>
      </w:tr>
      <w:tr>
        <w:trPr>
          <w:cantSplit/>
        </w:trPr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  <w:shd w:fill="EAF3DF"/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案例 5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近期融资校准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底稿 · source map · HTML</w:t>
            </w:r>
          </w:p>
        </w:tc>
      </w:tr>
      <w:tr>
        <w:trPr>
          <w:cantSplit/>
        </w:trPr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  <w:shd w:fill="EAF3DF"/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案例 6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银行 ECL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可反驳信号 · 简化复算</w:t>
            </w:r>
          </w:p>
        </w:tc>
      </w:tr>
      <w:tr>
        <w:trPr>
          <w:cantSplit/>
        </w:trPr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  <w:shd w:fill="EAF3DF"/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案例 7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保险赔案与准备金</w:t>
            </w:r>
          </w:p>
        </w:tc>
        <w:tc>
          <w:tcPr>
            <w:tcW w:type="dxa" w:w="3400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8"/>
              </w:rPr>
              <w:t>一案多规则 · 分层桥接</w:t>
            </w:r>
          </w:p>
        </w:tc>
      </w:tr>
    </w:tbl>
    <w:p/>
    <w:p>
      <w:pPr>
        <w:jc w:val="right"/>
      </w:pPr>
      <w:r>
        <w:rPr>
          <w:rFonts w:ascii="Arial" w:hAnsi="Arial" w:eastAsia="Arial Unicode MS"/>
          <w:b w:val="0"/>
          <w:i w:val="0"/>
          <w:color w:val="667085"/>
          <w:sz w:val="20"/>
        </w:rPr>
        <w:t>2026-08-18</w:t>
      </w:r>
    </w:p>
    <w:p>
      <w:r>
        <w:br w:type="page"/>
      </w:r>
    </w:p>
    <w:p>
      <w:pPr>
        <w:pStyle w:val="Heading1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Group Study 使用说明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每组领取案例 5、6、7 中的一个案例，独立完成分析、结果文件和课堂汇报。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建议分为业务口径、智能体操作、结果复核和汇报四个角色；人数较少时可以合并。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35 分钟完成分析与制作，10 分钟整理一页汇报，5 分钟向全班展示。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讲义不提供现成指令。请根据业务目标、数据字段、规则与验收标准，自行组织与智能体的交互。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每组统一交付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51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交付</w:t>
            </w:r>
          </w:p>
        </w:tc>
        <w:tc>
          <w:tcPr>
            <w:tcW w:type="dxa" w:w="51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必须回答的问题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分析思路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步骤如何安排？关键控制点和停止点在哪里？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结果要点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控制总数、异常事实、证据缺口和下一步行动是什么？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AI 可以做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哪些批量、重复、可验证的工作适合交给 AI？如何验收？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人必须判断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哪些方法、风险、错报、专家或签认事项不能外包？</w:t>
            </w:r>
          </w:p>
        </w:tc>
      </w:tr>
    </w:tbl>
    <w:p>
      <w:pPr>
        <w:spacing w:after="0"/>
      </w:pP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统一判断原则</w:t>
      </w:r>
    </w:p>
    <w:p>
      <w:pPr>
        <w:spacing w:after="60" w:line="276" w:lineRule="auto"/>
        <w:shd w:fill="FFF2CC"/>
        <w:ind w:left="142" w:right="142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AI 负责整理、复算、筛查和起草；人负责口径、证据、风险、结论与签认。</w:t>
      </w:r>
    </w:p>
    <w:p>
      <w:pPr>
        <w:pStyle w:val="Heading1"/>
        <w:pageBreakBefore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案例 5｜综合：近期融资校准底稿与 HTML 复核报告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一句话目标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把 11 个项目的结构化融资参数，一次生成</w:t>
      </w:r>
      <w:r>
        <w:rPr>
          <w:rFonts w:ascii="Arial" w:hAnsi="Arial" w:eastAsia="Arial Unicode MS"/>
          <w:b/>
          <w:i w:val="0"/>
          <w:color w:val="1F2937"/>
          <w:sz w:val="21"/>
        </w:rPr>
        <w:t>公式可追溯的估值复核底稿、重点项目清单和可离线打开的 HTML 报告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；AI 负责整理、复算、筛查和起草，人负责方法与结论。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51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项目</w:t>
            </w:r>
          </w:p>
        </w:tc>
        <w:tc>
          <w:tcPr>
            <w:tcW w:type="dxa" w:w="5100"/>
            <w:shd w:fill="DDEBF7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 Unicode MS"/>
                <w:b/>
                <w:i w:val="0"/>
                <w:color w:val="1F2937"/>
                <w:sz w:val="17"/>
              </w:rPr>
              <w:t>说明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业务场景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基金投资估值：近期融资价格校准与底稿生成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核心操作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参数读取、批量底稿、检查点、HTML 报告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难度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综合案例 ⭐⭐⭐⭐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建议用时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45 分钟（35 分钟分析与制作 + 10 分钟整理汇报）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输入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原始数据_底稿参数表.xlsx（11 个项目）</w:t>
            </w:r>
          </w:p>
        </w:tc>
      </w:tr>
      <w:tr>
        <w:trPr>
          <w:cantSplit/>
        </w:trPr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交付</w:t>
            </w:r>
          </w:p>
        </w:tc>
        <w:tc>
          <w:tcPr>
            <w:tcW w:type="dxa" w:w="5100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rFonts w:ascii="Arial" w:hAnsi="Arial" w:eastAsia="Arial Unicode MS"/>
                <w:b w:val="0"/>
                <w:i w:val="0"/>
                <w:color w:val="1F2937"/>
                <w:sz w:val="16"/>
              </w:rPr>
              <w:t>1 个 Excel 底稿工作簿 + 1 个 HTML 复核报告</w:t>
            </w:r>
          </w:p>
        </w:tc>
      </w:tr>
    </w:tbl>
    <w:p>
      <w:pPr>
        <w:spacing w:after="0"/>
      </w:pPr>
    </w:p>
    <w:p>
      <w:pPr>
        <w:spacing w:after="60" w:line="276" w:lineRule="auto"/>
        <w:shd w:fill="EAF3DF"/>
        <w:ind w:left="142" w:right="142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全部名称和数字均为虚构教学数据。案例阈值用于课堂筛查，不代表准则硬门槛或审计重要性。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本案例要学到的 Best Practice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参数 × 模板 + 检查点：先锁定字段、单位、基准日和底稿骨架，再让 AI 批量生成。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近期融资用于校准，不自动适用：每个计量日重新评价交易时点、规模、是否有序、是否为关联/内部轮、股份权利及基准日事实。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筛查参数与专业判断分开：365 天、1% 和 RMB 5,000,000 都放在可见规则区，并明确不是准则或审计重要性。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同源生成双交付物：Excel 保留公式和 source map；HTML 面向扫读，呈现控制总数、重点项目、行动项和方法限制。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人工质量门必须落款：方法适当性、证据权重、风险评价、进一步程序和最终底稿结论由审计师完成。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Group Study｜小组任务与交付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本案例由一个小组独立完成。建议分为业务口径、智能体操作、结果复核和汇报四个角色；人数较少时可合并角色。小组需要形成并展示以下内容：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分析思路：先做什么、后做什么，关键控制点在哪里；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结果要点：主要控制总数、重点项目、异常事实及证据缺口；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AI 可以完成的工作：适合批量整理、复算、筛查、生成底稿或起草报告的环节；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需要人的判断：涉及方法、证据权重、风险、错报、进一步程序和签认的事项；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5 分钟汇报：用一页纸或口头说明上述四项，并说明至少一项 AI 输出的验证方法。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本讲义不提供现成指令。请根据任务、数据字段和验收标准，自行组织与智能体的交互，并保留关键检查回执。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业务背景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项目组已把 11 个本年融资项目的协议要素、股份权利、持股数据和管理层公允价值整理成参数表。手工编制时，每张底稿都要重复抄写事实、拼接叙述、做“价格 × 持有注册资本”的计算，并在报告中再次汇总。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本案例把流程改成：</w:t>
      </w:r>
    </w:p>
    <w:p>
      <w:pPr>
        <w:spacing w:after="60" w:line="276" w:lineRule="auto"/>
      </w:pPr>
      <w:r>
        <w:rPr>
          <w:rFonts w:ascii="Menlo" w:hAnsi="Menlo" w:eastAsia="Arial Unicode MS"/>
          <w:b w:val="0"/>
          <w:i w:val="0"/>
          <w:color w:val="1F4D78"/>
          <w:sz w:val="19"/>
        </w:rPr>
        <w:t>输入控制 → 公式复算 → 代表性筛查 → 逐项目底稿 → HTML 报告 → 人工签认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需特别注意：融资日期较近、金额较大或有新投资者参与，可能提高交易价格的证据权重，但都不能单独证明该价格在估值基准日仍代表公允价值。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1｜先做输入控制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读取 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底稿参数表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，确认：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项目数为 11；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估值基准日为 2025-12-31；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日期、金额、比例和股份权利字段的类型与单位；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每行均保留项目编号和原始工作表行号，形成 source map。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若项目数或关键字段不一致，应先停止结论并说明缺口。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2｜复算并执行代表性筛查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保留以下 Excel 公式：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投后估值 = 每元注册资本价格 × 融资后全部注册资本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融资规模占比 = 本轮融资金额 ÷ 投后估值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DTT 复算公允价值 = 每元注册资本价格 × 本基金持有注册资本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差异 = DTT 复算公允价值 − 管理层公允价值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按可见规则表筛查：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交易时点：距估值基准日超过 365 天；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交易规模：融资金额/投后估值低于 1%；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交易背景：存在关联方或内部轮；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股份权利：权益不同、回报担保、非等比例摊薄、特殊条款或非现金出资；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计算差异：绝对值超过 RMB 5,000,000。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这些只是</w:t>
      </w:r>
      <w:r>
        <w:rPr>
          <w:rFonts w:ascii="Arial" w:hAnsi="Arial" w:eastAsia="Arial Unicode MS"/>
          <w:b/>
          <w:i w:val="0"/>
          <w:color w:val="1F2937"/>
          <w:sz w:val="21"/>
        </w:rPr>
        <w:t>定位需人工复核事项的案例参数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。不得自动写成“方法不适用”“确定错报”或“必须改用其他方法”。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3｜生成 Excel 底稿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生成一个新工作簿：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第一张为 底稿汇总；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后续 P001–P011 每个项目一张底稿；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每张底稿包含公司事实、方法边界、融资事实、代表性评价、权利条款、公式复算、筛查结果、人工质量门和人工结论栏；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所有关键事实保留来源文件、工作表和行号；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人工结论默认为“待人工填写”，不得由 AI 自动签认。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4｜生成离线 HTML 报告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用同一份数据生成 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近期融资校准复核报告.html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，要求：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白底、绿色强调，可在浏览器直接打开；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结论先行，展示项目数、DTT 复算合计、净差异和重点项目数；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列示每个重点项目的触发事实与人工行动；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给出全组合简表；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明确方法边界、案例参数和人工质量门；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不使用外部脚本、字体或敏感路径，便于离线分享。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完成后自查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项目数 11；DTT 复算公允价值合计约 RMB 1,065,927,498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重点复核项目为 3 个：P001、P006、P009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P001 是复算差异信号；P006 是关联/内部轮信号；P009 是交易规模有限信号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P009 没有被自动写成“方法不适用”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☐ Excel 公式无 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#REF!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、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#VALUE!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、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#DIV/0!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>、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#N/A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Excel 与 HTML 的项目数、总额和重点项目一致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HTML 无外部依赖，可双击离线打开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人工结论、复核人和日期仍待审计师填写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想一想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为什么“融资规模较小”只影响价格证据权重，而不自动否定方法？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HTML 报告面向扫读，Excel 底稿面向追溯；两者应如何保持同源一致？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如果估值基准日前后发生重大经营变化，你会补充什么证据或交叉验证方法？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在本案例中，哪些工作可以交给 AI 批量完成，哪些结论必须由审计师作出？</w:t>
      </w:r>
    </w:p>
    <w:p>
      <w:pPr>
        <w:pStyle w:val="Heading1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案例 6｜综合：银行 ECL 分期信号与拨备复核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本案例要学到的 Best Practice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控制总数先于模型结果：记录数、EAD、管理层 ECL 和分行数不勾稽时，先停止下游结论。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扫描信号不等于最终分期：30 天 SICR 与 90 天违约信号均可在有合理且有依据的信息时被反驳；关注名单、重组和评级迁徙是本案例项目参数。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模型参数与规则可见、可版本化：PD、LGD、折现因子、阈值和来源 ID 均放在工作簿中。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结果与例外成对交付：同时输出全量复核明细、分期不一致、拨备差异、资料缺口和控制回执。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AI 不替代专业判断：SICR、违约、管理层叠加、错报和进一步程序均由审计师判断。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Group Study｜小组任务与交付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本案例由一个小组独立完成。建议分为业务口径、智能体操作、结果复核和汇报四个角色；人数较少时可合并角色。小组需要形成并展示以下内容：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分析思路：从输入控制到分期信号、ECL 复算和资料缺口的完整路径；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结果要点：主要控制总数、异常项目、差异原因假设及下一步证据；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AI 可以完成的工作：适合批量扫描、参数匹配、公式复算和异常整理的环节；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需要人的判断：涉及 SICR、违约、模型与叠加、错报及进一步程序的事项；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5 分钟汇报：用一页纸或口头说明上述四项，并说明至少一项 AI 输出的验证方法。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本讲义不提供现成指令。请根据任务、规则与口径、数据字段和验收标准，自行组织与智能体的交互，并保留关键检查回执。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业务背景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你是某虚构银行 2026 年中审计项目组成员。管理层提供了 48 笔信贷资产明细及一套简化 ECL 参数。项目组希望先用智能体完成控制总数、分期信号扫描、简化 ECL 复算和资料缺口整理，再由审计师决定进一步程序。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本案例不要求建立完整 ECL 模型，也不允许智能体替项目组作最终分期或错报判断。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输入文件</w:t>
      </w:r>
    </w:p>
    <w:p>
      <w:pPr>
        <w:spacing w:after="60" w:line="276" w:lineRule="auto"/>
      </w:pPr>
      <w:r>
        <w:rPr>
          <w:rFonts w:ascii="Menlo" w:hAnsi="Menlo" w:eastAsia="Arial Unicode MS"/>
          <w:b w:val="0"/>
          <w:i w:val="0"/>
          <w:color w:val="1F4D78"/>
          <w:sz w:val="19"/>
        </w:rPr>
        <w:t>原始数据_银行信贷资产ECL复核.xlsx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重点工作表：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贷款明细：48 笔虚构贷款及管理层 ECL；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ECL参数：按产品和阶段设置的简化 PD、LGD、折现因子；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规则与口径：案例规则及人工判断边界；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来源与口径：来源 ID、单位、基准日和方法论锚点。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你的任务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1｜控制总数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核对并回报：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贷款笔数；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分行数；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EAD 总额；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管理层 ECL 总额。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若输入控制总数无法勾稽，应停止后续结论并说明原因。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2｜分期一致性扫描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按 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规则与口径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 中的 B-01 扫描管理层阶段与案例风险信号是否一致：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违约标志为“是”或逾期不少于 90 天：案例扫描为阶段 3；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其他情况下，如逾期不少于 30 天、进入关注名单、发生重组或评级恶化不少于 3 档：案例扫描为阶段 2；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其他：扫描为阶段 1。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请输出管理层阶段、扫描阶段、触发事实和来源 ID。30/90 天是可反驳信号，其他触发项为本案例项目参数；不得写成唯一强制规则或最终审计结论。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3｜简化 ECL 复算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按以下教学公式复算：</w:t>
      </w:r>
    </w:p>
    <w:p>
      <w:pPr>
        <w:spacing w:after="60" w:line="276" w:lineRule="auto"/>
      </w:pPr>
      <w:r>
        <w:rPr>
          <w:rFonts w:ascii="Menlo" w:hAnsi="Menlo" w:eastAsia="Arial Unicode MS"/>
          <w:b w:val="0"/>
          <w:i w:val="0"/>
          <w:color w:val="1F4D78"/>
          <w:sz w:val="19"/>
        </w:rPr>
        <w:t>简化复算 ECL = EAD × PD × LGD × 折现因子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参数应按“产品类型 + 扫描阶段”从 </w:t>
      </w:r>
      <w:r>
        <w:rPr>
          <w:rFonts w:ascii="Menlo" w:hAnsi="Menlo" w:eastAsia="Arial Unicode MS"/>
          <w:b w:val="0"/>
          <w:i w:val="0"/>
          <w:color w:val="1F4D78"/>
          <w:sz w:val="19"/>
        </w:rPr>
        <w:t>ECL参数</w:t>
      </w:r>
      <w:r>
        <w:rPr>
          <w:rFonts w:ascii="Arial" w:hAnsi="Arial" w:eastAsia="Arial Unicode MS"/>
          <w:b w:val="0"/>
          <w:i w:val="0"/>
          <w:color w:val="1F2937"/>
          <w:sz w:val="21"/>
        </w:rPr>
        <w:t xml:space="preserve"> 工作表取数。将管理层 ECL 与复算结果比较，并列出绝对差异不少于 1,000,000 元的项目。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4｜资料缺口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检查担保物评估日期和最近评级复核日期是否缺失。不得推断或补造日期；应形成单独缺口清单。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5｜交付结果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请生成一个新的 Excel 文件，至少包含：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复核汇总；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复核明细；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分期异常；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拨备差异；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缺失资料；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6. 控制检查；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7. 来源与口径。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所有计算保留 Excel 公式；所有异常保留来源 ID 和规则编号。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完成后自查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48 笔贷款、4 家分行；EAD RMB 1,856,100,000；管理层 ECL RMB 38,838,000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简化复算 ECL RMB 52,456,383.52；净差异 RMB (13,618,383.52)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4 笔分期信号不一致、3 笔差异超案例阈值、2 笔资料缺口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验收标准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输入记录和金额控制总数勾稽；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规则参数没有被写死在不可见代码中；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缺失值被暴露而非静默填补；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结果可追溯到来源 ID；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没有把模拟阈值描述为准则硬门槛；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没有把全量扫描描述为自动替代审计抽样。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人工判断门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以下事项必须由审计师完成：适用政策解释、SICR/违约判断、管理层模型与叠加调整评价、审计重要性、错报分类、进一步程序及底稿签认。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小组汇报前最后一问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如果只能保留三项人工检查点，你会选择哪三项？为什么？</w:t>
      </w:r>
    </w:p>
    <w:p>
      <w:pPr>
        <w:pStyle w:val="Heading1"/>
        <w:pageBreakBefore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案例 7｜综合：保险赔案与准备金数据勾稽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本案例要学到的 Best Practice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先控制数据，再评价估计：赔案笔数、已赔、最终赔付、追偿和个案准备金总额必须先勾稽。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算术复算不等于完整计量：MAX(预计最终赔付－累计已赔－预计追偿,0)只检查赔案台账与管理层个案准备金，不能代表完整 IFRS 17 已发生赔款负债计量。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一笔赔案允许多条规则：异常清单按“赔案 × 规则”留痕，同时另报唯一异常赔案数。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分层桥接：先核对赔案台账与管理层 RBNS，再桥接管理层 IBNR、理赔费用准备金，最后勾稽总账。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专家与审计师保留判断：方法、假设、风险调整、折现、估计不确定性、错报和签认不交给 AI。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Group Study｜小组任务与交付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本案例由一个小组独立完成。建议分为业务口径、智能体操作、结果复核和汇报四个角色；人数较少时可合并角色。小组需要形成并展示以下内容：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分析思路：从赔案控制、RBNS 复算到准备金桥接和总账勾稽的完整路径；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结果要点：主要控制总数、异常赔案、勾稽差异及下一步证据；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AI 可以完成的工作：适合批量复算、多规则扫描、分层汇总和异常整理的环节；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需要人的判断：涉及赔案状态、估损、IBNR、风险调整、折现、错报和专家结论的事项；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5 分钟汇报：用一页纸或口头说明上述四项，并说明至少一项 AI 输出的验证方法。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本讲义不提供现成指令。请根据任务、规则与口径、数据字段和验收标准，自行组织与智能体的交互，并保留关键检查回执。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业务背景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你是某虚构财产保险公司 2026 年中审计项目组成员。管理层提供了 54 笔赔案明细、按分公司和产品汇总的准备金表以及总账余额。项目组希望用智能体完成赔案控制总数、RBNS 算术复算、异常扫描、准备金桥接和总账勾稽。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本案例不要求建立完整 IFRS 17 计量模型，也不替代精算专家对方法、假设和估计不确定性的评价。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输入文件</w:t>
      </w:r>
    </w:p>
    <w:p>
      <w:pPr>
        <w:spacing w:after="60" w:line="276" w:lineRule="auto"/>
      </w:pPr>
      <w:r>
        <w:rPr>
          <w:rFonts w:ascii="Menlo" w:hAnsi="Menlo" w:eastAsia="Arial Unicode MS"/>
          <w:b w:val="0"/>
          <w:i w:val="0"/>
          <w:color w:val="1F4D78"/>
          <w:sz w:val="19"/>
        </w:rPr>
        <w:t>原始数据_保险赔案与未决赔款准备金.xlsx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重点工作表：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赔案明细：54 笔虚构财险赔案；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精算准备金汇总：按分公司与产品汇总的 RBNS、IBNR 和理赔费用准备金；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总账余额：按分公司列示的未决赔款准备金余额；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规则与口径：案例筛查规则及审计边界；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来源与口径：来源 ID、单位、基准日和方法论锚点。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你的任务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1｜输入控制总数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核对并回报：赔案笔数、累计已赔、预计最终赔付、预计追偿和管理层个案准备金总额。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2｜RBNS 算术复算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对每笔赔案按以下教学公式复算：</w:t>
      </w:r>
    </w:p>
    <w:p>
      <w:pPr>
        <w:spacing w:after="60" w:line="276" w:lineRule="auto"/>
      </w:pPr>
      <w:r>
        <w:rPr>
          <w:rFonts w:ascii="Menlo" w:hAnsi="Menlo" w:eastAsia="Arial Unicode MS"/>
          <w:b w:val="0"/>
          <w:i w:val="0"/>
          <w:color w:val="1F4D78"/>
          <w:sz w:val="19"/>
        </w:rPr>
        <w:t>复算 RBNS = MAX(预计最终赔付－累计已赔－预计追偿, 0)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将管理层个案准备金与复算 RBNS 比较，列出绝对差异不少于 500,000 元的项目。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3｜赔案异常扫描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按案例规则识别：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已结案仍有准备金，或未决赔案为零准备金；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报案日期早于出险日期，或报案延迟超过 180 天；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预计最终赔付不少于 5,000,000 元且估损超过 90 天未更新；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个案准备金复算差异超过阈值。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一笔赔案可以触发多条规则；异常清单应保留规则编号、来源 ID、事实和金额。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4｜准备金桥接与总账勾稽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按分公司和产品汇总赔案台账复算 RBNS；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与精算准备金汇总中的 RBNS 比较；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用“赔案台账复算 RBNS + 管理层 IBNR + 管理层理赔费用准备金”形成教学数据桥接；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按分公司与总账余额勾稽，模拟容差为 1,000 元。</w:t>
      </w:r>
    </w:p>
    <w:p>
      <w:pPr>
        <w:pStyle w:val="Heading3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任务 5｜交付结果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请生成一个新的 Excel 文件，至少包含：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1. 复核汇总；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2. 复核明细；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3. 异常清单；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4. 准备金桥接；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5. 总账勾稽；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6. 控制检查；</w:t>
      </w:r>
    </w:p>
    <w:p>
      <w:pPr>
        <w:spacing w:after="60" w:line="276" w:lineRule="auto"/>
        <w:ind w:left="255" w:hanging="255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7. 来源与口径。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所有金额复算和桥接保留 Excel 公式。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完成后自查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54 笔赔案；累计已赔 RMB 73,576,000；预计最终赔付 RMB 166,790,000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管理层个案准备金 RMB 79,495,000；赔案台账复算 RBNS RMB 83,051,000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10 笔赔案触发 13 条规则记录，没有因去重丢规则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☐ 华南 RMB 500 在案例容差内；西南 RMB (1,200,000) 不一致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验收标准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54 笔赔案和金额控制总数勾稽；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RBNS 复算公式可追溯；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一笔多规则异常没有被去重丢失；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精算汇总与总账差异按分公司明确列示；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规则触发不被写成“确定错报”；</w:t>
      </w:r>
    </w:p>
    <w:p>
      <w:pPr>
        <w:pStyle w:val="ListBullet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结果清楚标注人工判断门。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人工判断门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赔案状态定义、重开案和付款政策、估损合理性、IBNR 方法和假设、理赔费用口径、风险调整、折现、估计不确定性、审计重要性、错报评价、专家结论及底稿签认均由人完成。</w:t>
      </w:r>
    </w:p>
    <w:p>
      <w:pPr>
        <w:pStyle w:val="Heading2"/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小组汇报前最后一问</w:t>
      </w:r>
    </w:p>
    <w:p>
      <w:pPr>
        <w:spacing w:after="60" w:line="276" w:lineRule="auto"/>
      </w:pPr>
      <w:r>
        <w:rPr>
          <w:rFonts w:ascii="Arial" w:hAnsi="Arial" w:eastAsia="Arial Unicode MS"/>
          <w:b w:val="0"/>
          <w:i w:val="0"/>
          <w:color w:val="1F2937"/>
          <w:sz w:val="21"/>
        </w:rPr>
        <w:t>如果总账已经勾稽一致，为什么仍不能得出准备金合理的结论？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 Unicode MS"/>
        <w:b w:val="0"/>
        <w:i w:val="0"/>
        <w:color w:val="667085"/>
        <w:sz w:val="16"/>
      </w:rPr>
      <w:t>虚构教学数据｜AI 交草稿，人做判断与签认｜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 Unicode MS"/>
        <w:b w:val="0"/>
        <w:i w:val="0"/>
        <w:color w:val="667085"/>
        <w:sz w:val="16"/>
      </w:rPr>
      <w:t>金融行业审计 AI 实操训练营 v3.1｜学生讲义 · Group Study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Arial" w:hAnsi="Arial" w:eastAsia="Arial Unicode M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 Unicode MS"/>
      <w:b/>
      <w:bCs/>
      <w:color w:val="006B54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 w:eastAsia="Arial Unicode MS"/>
      <w:b/>
      <w:bCs/>
      <w:color w:val="1F4D78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Arial" w:hAnsi="Arial" w:eastAsia="Arial Unicode MS"/>
      <w:b/>
      <w:bCs/>
      <w:color w:val="1F4D7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学生讲义 · Group Study｜金融行业审计 AI 实操训练营 v3.1</dc:title>
  <dc:subject>金融行业审计 AI 实操培训统一系列</dc:subject>
  <dc:creator>AI 培训项目组</dc:creator>
  <cp:keywords>AI培训, 审计, 估值, ECL, 保险, HTML报告, 虚构数据</cp:keywords>
  <dc:description>学生讲义 · Group Study；固定种子虚构数据；不含客户信息。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